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Componenti del sistema</w:t>
      </w:r>
    </w:p>
    <w:p/>
    <w:p>
      <w:pPr/>
      <w:r>
        <w:rPr>
          <w:b w:val="1"/>
          <w:bCs w:val="1"/>
        </w:rPr>
        <w:t xml:space="preserve">Interfaccia IP-S IPI100 KNX-S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Garanzia del produttore: 5 anni;VPE1, EAN: 4007841095963;Montaggio: altro;Dettaglio tensione di alimentazione: KNX-bus;KNX Medium: TP 256;KNX Secure: Sì;Categoria die prodotto: Componenti del sistema;Stromaufnahme Bus Eingabe: 20 mA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095963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Interfaccia IP-S IPI100 KNX-S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2026-09-30T09:28:30+02:00</dcterms:created>
  <dcterms:modified xsi:type="dcterms:W3CDTF">2026-09-30T09:28:30+02:00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